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9B" w:rsidRDefault="002512ED" w:rsidP="000B6398">
      <w:pPr>
        <w:jc w:val="center"/>
        <w:rPr>
          <w:b/>
          <w:sz w:val="24"/>
          <w:szCs w:val="24"/>
        </w:rPr>
      </w:pPr>
      <w:r w:rsidRPr="00957786">
        <w:rPr>
          <w:b/>
          <w:sz w:val="24"/>
          <w:szCs w:val="24"/>
        </w:rPr>
        <w:t>Phụ lục 2</w:t>
      </w:r>
    </w:p>
    <w:p w:rsidR="00456873" w:rsidRDefault="002512ED" w:rsidP="002512ED">
      <w:pPr>
        <w:jc w:val="center"/>
        <w:rPr>
          <w:rStyle w:val="fontstyle01"/>
          <w:sz w:val="24"/>
          <w:szCs w:val="24"/>
        </w:rPr>
      </w:pPr>
      <w:r w:rsidRPr="00957786">
        <w:rPr>
          <w:rStyle w:val="fontstyle01"/>
          <w:sz w:val="24"/>
          <w:szCs w:val="24"/>
        </w:rPr>
        <w:t>NỘI DUNG GIAO</w:t>
      </w:r>
      <w:r w:rsidR="00FC65DE">
        <w:rPr>
          <w:rStyle w:val="fontstyle01"/>
          <w:sz w:val="24"/>
          <w:szCs w:val="24"/>
        </w:rPr>
        <w:t xml:space="preserve"> ĐƠN VỊ</w:t>
      </w:r>
      <w:r w:rsidRPr="00957786">
        <w:rPr>
          <w:rStyle w:val="fontstyle01"/>
          <w:sz w:val="24"/>
          <w:szCs w:val="24"/>
        </w:rPr>
        <w:t xml:space="preserve"> </w:t>
      </w:r>
      <w:r w:rsidR="000B6398">
        <w:rPr>
          <w:rStyle w:val="fontstyle01"/>
          <w:sz w:val="24"/>
          <w:szCs w:val="24"/>
        </w:rPr>
        <w:t xml:space="preserve">THAM MƯU </w:t>
      </w:r>
      <w:r w:rsidRPr="00957786">
        <w:rPr>
          <w:rStyle w:val="fontstyle01"/>
          <w:sz w:val="24"/>
          <w:szCs w:val="24"/>
        </w:rPr>
        <w:t>QUY ĐỊNH CHI TIẾT,</w:t>
      </w:r>
    </w:p>
    <w:p w:rsidR="002512ED" w:rsidRPr="00957786" w:rsidRDefault="002512ED" w:rsidP="002512ED">
      <w:pPr>
        <w:jc w:val="center"/>
        <w:rPr>
          <w:rStyle w:val="fontstyle01"/>
          <w:sz w:val="24"/>
          <w:szCs w:val="24"/>
        </w:rPr>
      </w:pPr>
      <w:r w:rsidRPr="00957786">
        <w:rPr>
          <w:rStyle w:val="fontstyle01"/>
          <w:sz w:val="24"/>
          <w:szCs w:val="24"/>
        </w:rPr>
        <w:t xml:space="preserve"> HƯỚNG DẪN THI HÀNH THEO THẨM QUYỀN CỦA LUẬT ĐẤT ĐAI NĂM 2024</w:t>
      </w:r>
    </w:p>
    <w:p w:rsidR="002512ED" w:rsidRPr="00456873" w:rsidRDefault="002512ED" w:rsidP="002512ED">
      <w:pPr>
        <w:jc w:val="center"/>
        <w:rPr>
          <w:rStyle w:val="fontstyle01"/>
          <w:b w:val="0"/>
          <w:i/>
          <w:szCs w:val="24"/>
        </w:rPr>
      </w:pPr>
      <w:r w:rsidRPr="00456873">
        <w:rPr>
          <w:rStyle w:val="fontstyle01"/>
          <w:b w:val="0"/>
          <w:i/>
          <w:szCs w:val="24"/>
        </w:rPr>
        <w:t xml:space="preserve">(Ban hành kèm theo </w:t>
      </w:r>
      <w:r w:rsidR="00FC65DE">
        <w:rPr>
          <w:rStyle w:val="fontstyle01"/>
          <w:b w:val="0"/>
          <w:i/>
          <w:szCs w:val="24"/>
        </w:rPr>
        <w:t>Công văn</w:t>
      </w:r>
      <w:r w:rsidRPr="00456873">
        <w:rPr>
          <w:rStyle w:val="fontstyle01"/>
          <w:b w:val="0"/>
          <w:i/>
          <w:szCs w:val="24"/>
        </w:rPr>
        <w:t xml:space="preserve"> số      </w:t>
      </w:r>
      <w:r w:rsidR="00D8719B">
        <w:rPr>
          <w:rStyle w:val="fontstyle01"/>
          <w:b w:val="0"/>
          <w:i/>
          <w:szCs w:val="24"/>
        </w:rPr>
        <w:t xml:space="preserve">   </w:t>
      </w:r>
      <w:r w:rsidRPr="00456873">
        <w:rPr>
          <w:rStyle w:val="fontstyle01"/>
          <w:b w:val="0"/>
          <w:i/>
          <w:szCs w:val="24"/>
        </w:rPr>
        <w:t xml:space="preserve"> /</w:t>
      </w:r>
      <w:r w:rsidR="00FC65DE">
        <w:rPr>
          <w:rStyle w:val="fontstyle01"/>
          <w:b w:val="0"/>
          <w:i/>
          <w:szCs w:val="24"/>
        </w:rPr>
        <w:t>SNN</w:t>
      </w:r>
      <w:r w:rsidRPr="00456873">
        <w:rPr>
          <w:rStyle w:val="fontstyle01"/>
          <w:b w:val="0"/>
          <w:i/>
          <w:szCs w:val="24"/>
        </w:rPr>
        <w:t>-</w:t>
      </w:r>
      <w:r w:rsidR="00FC65DE">
        <w:rPr>
          <w:rStyle w:val="fontstyle01"/>
          <w:b w:val="0"/>
          <w:i/>
          <w:szCs w:val="24"/>
        </w:rPr>
        <w:t>TTr</w:t>
      </w:r>
      <w:r w:rsidR="000B6398">
        <w:rPr>
          <w:rStyle w:val="fontstyle01"/>
          <w:b w:val="0"/>
          <w:i/>
          <w:szCs w:val="24"/>
        </w:rPr>
        <w:t xml:space="preserve"> ngày      /5</w:t>
      </w:r>
      <w:r w:rsidRPr="00456873">
        <w:rPr>
          <w:rStyle w:val="fontstyle01"/>
          <w:b w:val="0"/>
          <w:i/>
          <w:szCs w:val="24"/>
        </w:rPr>
        <w:t>/2024</w:t>
      </w:r>
      <w:r w:rsidR="00456873">
        <w:rPr>
          <w:rStyle w:val="fontstyle01"/>
          <w:b w:val="0"/>
          <w:i/>
          <w:szCs w:val="24"/>
        </w:rPr>
        <w:t xml:space="preserve"> của </w:t>
      </w:r>
      <w:r w:rsidR="00FC65DE">
        <w:rPr>
          <w:rStyle w:val="fontstyle01"/>
          <w:b w:val="0"/>
          <w:i/>
          <w:szCs w:val="24"/>
        </w:rPr>
        <w:t>Sở Nông nghiệp và PTNT</w:t>
      </w:r>
      <w:r w:rsidRPr="00456873">
        <w:rPr>
          <w:rStyle w:val="fontstyle01"/>
          <w:b w:val="0"/>
          <w:i/>
          <w:szCs w:val="24"/>
        </w:rPr>
        <w:t>)</w:t>
      </w:r>
    </w:p>
    <w:p w:rsidR="002512ED" w:rsidRPr="00957786" w:rsidRDefault="002512ED" w:rsidP="002512ED">
      <w:pPr>
        <w:jc w:val="center"/>
        <w:rPr>
          <w:rStyle w:val="fontstyle01"/>
          <w:sz w:val="24"/>
          <w:szCs w:val="24"/>
        </w:rPr>
      </w:pPr>
    </w:p>
    <w:tbl>
      <w:tblPr>
        <w:tblStyle w:val="TableGrid"/>
        <w:tblW w:w="15246" w:type="dxa"/>
        <w:tblInd w:w="108" w:type="dxa"/>
        <w:tblLook w:val="04A0" w:firstRow="1" w:lastRow="0" w:firstColumn="1" w:lastColumn="0" w:noHBand="0" w:noVBand="1"/>
      </w:tblPr>
      <w:tblGrid>
        <w:gridCol w:w="701"/>
        <w:gridCol w:w="1121"/>
        <w:gridCol w:w="5047"/>
        <w:gridCol w:w="4641"/>
        <w:gridCol w:w="1257"/>
        <w:gridCol w:w="1227"/>
        <w:gridCol w:w="1252"/>
      </w:tblGrid>
      <w:tr w:rsidR="00FC65DE" w:rsidRPr="00957786" w:rsidTr="00FC65DE">
        <w:trPr>
          <w:trHeight w:val="20"/>
          <w:tblHeader/>
        </w:trPr>
        <w:tc>
          <w:tcPr>
            <w:tcW w:w="701" w:type="dxa"/>
            <w:vAlign w:val="center"/>
          </w:tcPr>
          <w:p w:rsidR="00FC65DE" w:rsidRPr="00957786" w:rsidRDefault="00FC65DE" w:rsidP="002512ED">
            <w:pPr>
              <w:jc w:val="center"/>
              <w:rPr>
                <w:b/>
                <w:sz w:val="24"/>
                <w:szCs w:val="24"/>
              </w:rPr>
            </w:pPr>
            <w:r w:rsidRPr="00957786">
              <w:rPr>
                <w:b/>
                <w:sz w:val="24"/>
                <w:szCs w:val="24"/>
              </w:rPr>
              <w:t>Số TT</w:t>
            </w:r>
          </w:p>
        </w:tc>
        <w:tc>
          <w:tcPr>
            <w:tcW w:w="1121" w:type="dxa"/>
            <w:vAlign w:val="center"/>
          </w:tcPr>
          <w:p w:rsidR="00FC65DE" w:rsidRPr="00957786" w:rsidRDefault="00FC65DE" w:rsidP="002512ED">
            <w:pPr>
              <w:jc w:val="center"/>
              <w:rPr>
                <w:b/>
                <w:sz w:val="24"/>
                <w:szCs w:val="24"/>
              </w:rPr>
            </w:pPr>
            <w:r w:rsidRPr="00957786">
              <w:rPr>
                <w:b/>
                <w:sz w:val="24"/>
                <w:szCs w:val="24"/>
              </w:rPr>
              <w:t>Tên điều khoản</w:t>
            </w:r>
          </w:p>
        </w:tc>
        <w:tc>
          <w:tcPr>
            <w:tcW w:w="5047" w:type="dxa"/>
            <w:vAlign w:val="center"/>
          </w:tcPr>
          <w:p w:rsidR="00FC65DE" w:rsidRPr="00957786" w:rsidRDefault="00FC65DE" w:rsidP="002512ED">
            <w:pPr>
              <w:jc w:val="center"/>
              <w:rPr>
                <w:b/>
                <w:sz w:val="24"/>
                <w:szCs w:val="24"/>
              </w:rPr>
            </w:pPr>
            <w:r w:rsidRPr="00957786">
              <w:rPr>
                <w:b/>
                <w:sz w:val="24"/>
                <w:szCs w:val="24"/>
              </w:rPr>
              <w:t>Nội dung giao quy định chi tiết</w:t>
            </w:r>
          </w:p>
        </w:tc>
        <w:tc>
          <w:tcPr>
            <w:tcW w:w="4641" w:type="dxa"/>
            <w:vAlign w:val="center"/>
          </w:tcPr>
          <w:p w:rsidR="00FC65DE" w:rsidRPr="00957786" w:rsidRDefault="00FC65DE" w:rsidP="002512ED">
            <w:pPr>
              <w:jc w:val="center"/>
              <w:rPr>
                <w:b/>
                <w:sz w:val="24"/>
                <w:szCs w:val="24"/>
              </w:rPr>
            </w:pPr>
            <w:r w:rsidRPr="00957786">
              <w:rPr>
                <w:b/>
                <w:sz w:val="24"/>
                <w:szCs w:val="24"/>
              </w:rPr>
              <w:t>Hướng dẫn thi hành theo thẩm quyền</w:t>
            </w:r>
          </w:p>
        </w:tc>
        <w:tc>
          <w:tcPr>
            <w:tcW w:w="1257" w:type="dxa"/>
            <w:vAlign w:val="center"/>
          </w:tcPr>
          <w:p w:rsidR="00FC65DE" w:rsidRPr="00957786" w:rsidRDefault="00FC65DE" w:rsidP="002512ED">
            <w:pPr>
              <w:jc w:val="center"/>
              <w:rPr>
                <w:b/>
                <w:sz w:val="24"/>
                <w:szCs w:val="24"/>
              </w:rPr>
            </w:pPr>
            <w:r w:rsidRPr="00957786">
              <w:rPr>
                <w:b/>
                <w:sz w:val="24"/>
                <w:szCs w:val="24"/>
              </w:rPr>
              <w:t>Cơ quan được giao thực hiện</w:t>
            </w:r>
          </w:p>
        </w:tc>
        <w:tc>
          <w:tcPr>
            <w:tcW w:w="1227" w:type="dxa"/>
          </w:tcPr>
          <w:p w:rsidR="00FC65DE" w:rsidRPr="00957786" w:rsidRDefault="00FC65DE" w:rsidP="002512ED">
            <w:pPr>
              <w:jc w:val="center"/>
              <w:rPr>
                <w:b/>
                <w:sz w:val="24"/>
                <w:szCs w:val="24"/>
              </w:rPr>
            </w:pPr>
            <w:r w:rsidRPr="00957786">
              <w:rPr>
                <w:b/>
                <w:sz w:val="24"/>
                <w:szCs w:val="24"/>
              </w:rPr>
              <w:t>Cơ quan chủ trì tham mưu</w:t>
            </w:r>
          </w:p>
        </w:tc>
        <w:tc>
          <w:tcPr>
            <w:tcW w:w="1252" w:type="dxa"/>
            <w:vAlign w:val="center"/>
          </w:tcPr>
          <w:p w:rsidR="00FC65DE" w:rsidRPr="00957786" w:rsidRDefault="00FC65DE" w:rsidP="002512ED">
            <w:pPr>
              <w:jc w:val="center"/>
              <w:rPr>
                <w:b/>
                <w:sz w:val="24"/>
                <w:szCs w:val="24"/>
              </w:rPr>
            </w:pPr>
            <w:r>
              <w:rPr>
                <w:b/>
                <w:sz w:val="24"/>
                <w:szCs w:val="24"/>
              </w:rPr>
              <w:t>Cơ quan phối hợp</w:t>
            </w:r>
          </w:p>
        </w:tc>
      </w:tr>
      <w:tr w:rsidR="00FC65DE" w:rsidRPr="00957786" w:rsidTr="00FC65DE">
        <w:trPr>
          <w:trHeight w:val="20"/>
        </w:trPr>
        <w:tc>
          <w:tcPr>
            <w:tcW w:w="701" w:type="dxa"/>
            <w:vAlign w:val="center"/>
          </w:tcPr>
          <w:p w:rsidR="00FC65DE" w:rsidRPr="00957786" w:rsidRDefault="00FC65DE" w:rsidP="00957786">
            <w:pPr>
              <w:spacing w:before="60" w:after="60"/>
              <w:jc w:val="both"/>
              <w:rPr>
                <w:sz w:val="24"/>
                <w:szCs w:val="24"/>
              </w:rPr>
            </w:pPr>
            <w:r>
              <w:rPr>
                <w:sz w:val="24"/>
                <w:szCs w:val="24"/>
              </w:rPr>
              <w:t>1</w:t>
            </w:r>
          </w:p>
        </w:tc>
        <w:tc>
          <w:tcPr>
            <w:tcW w:w="1121" w:type="dxa"/>
            <w:vAlign w:val="center"/>
          </w:tcPr>
          <w:p w:rsidR="00FC65DE" w:rsidRPr="00957786" w:rsidRDefault="00FC65DE" w:rsidP="00957786">
            <w:pPr>
              <w:spacing w:before="60" w:after="60"/>
              <w:jc w:val="both"/>
              <w:rPr>
                <w:sz w:val="24"/>
                <w:szCs w:val="24"/>
              </w:rPr>
            </w:pPr>
            <w:r w:rsidRPr="00957786">
              <w:rPr>
                <w:sz w:val="24"/>
                <w:szCs w:val="24"/>
              </w:rPr>
              <w:t>Khoản 4, 6 Điều 103</w:t>
            </w:r>
          </w:p>
        </w:tc>
        <w:tc>
          <w:tcPr>
            <w:tcW w:w="5047" w:type="dxa"/>
            <w:vAlign w:val="center"/>
          </w:tcPr>
          <w:p w:rsidR="00FC65DE" w:rsidRDefault="00FC65DE" w:rsidP="00957786">
            <w:pPr>
              <w:spacing w:before="60" w:after="60"/>
              <w:jc w:val="both"/>
              <w:rPr>
                <w:rStyle w:val="fontstyle01"/>
                <w:sz w:val="24"/>
                <w:szCs w:val="24"/>
              </w:rPr>
            </w:pPr>
            <w:r w:rsidRPr="00957786">
              <w:rPr>
                <w:rStyle w:val="fontstyle01"/>
                <w:sz w:val="24"/>
                <w:szCs w:val="24"/>
              </w:rPr>
              <w:t>Điều 103. Bồi thường đối với cây trồng, vật nuôi</w:t>
            </w:r>
          </w:p>
          <w:p w:rsidR="00FC65DE" w:rsidRPr="00957786" w:rsidRDefault="00FC65DE" w:rsidP="00957786">
            <w:pPr>
              <w:spacing w:before="60" w:after="60"/>
              <w:jc w:val="both"/>
              <w:rPr>
                <w:b/>
                <w:sz w:val="24"/>
                <w:szCs w:val="24"/>
              </w:rPr>
            </w:pPr>
            <w:r w:rsidRPr="00957786">
              <w:rPr>
                <w:rStyle w:val="fontstyle21"/>
              </w:rPr>
              <w:t xml:space="preserve">6. </w:t>
            </w:r>
            <w:r>
              <w:rPr>
                <w:rStyle w:val="fontstyle21"/>
              </w:rPr>
              <w:t>UBND</w:t>
            </w:r>
            <w:r w:rsidRPr="00957786">
              <w:rPr>
                <w:rStyle w:val="fontstyle21"/>
              </w:rPr>
              <w:t xml:space="preserve"> cấp tỉnh ban hành đơn giá bồi thường thiệt hại về cây trồng, vật nuôi theo quy trình sản xuất do Bộ </w:t>
            </w:r>
            <w:r w:rsidRPr="00C8337F">
              <w:rPr>
                <w:rStyle w:val="fontstyle01"/>
                <w:b w:val="0"/>
                <w:sz w:val="24"/>
                <w:szCs w:val="24"/>
              </w:rPr>
              <w:t>Nông</w:t>
            </w:r>
            <w:r w:rsidRPr="00957786">
              <w:rPr>
                <w:rStyle w:val="fontstyle01"/>
                <w:sz w:val="24"/>
                <w:szCs w:val="24"/>
              </w:rPr>
              <w:t xml:space="preserve"> </w:t>
            </w:r>
            <w:r w:rsidRPr="00957786">
              <w:rPr>
                <w:rStyle w:val="fontstyle01"/>
                <w:b w:val="0"/>
                <w:sz w:val="24"/>
                <w:szCs w:val="24"/>
              </w:rPr>
              <w:t>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w:t>
            </w:r>
            <w:r>
              <w:rPr>
                <w:rStyle w:val="fontstyle01"/>
                <w:b w:val="0"/>
                <w:sz w:val="24"/>
                <w:szCs w:val="24"/>
              </w:rPr>
              <w:t xml:space="preserve"> </w:t>
            </w:r>
            <w:r w:rsidRPr="00957786">
              <w:rPr>
                <w:rStyle w:val="fontstyle01"/>
                <w:b w:val="0"/>
                <w:sz w:val="24"/>
                <w:szCs w:val="24"/>
              </w:rPr>
              <w:t>để làm căn cứ tính bồi thường khi thu hồi</w:t>
            </w:r>
            <w:r>
              <w:rPr>
                <w:rStyle w:val="fontstyle01"/>
                <w:b w:val="0"/>
                <w:sz w:val="24"/>
                <w:szCs w:val="24"/>
              </w:rPr>
              <w:t xml:space="preserve"> </w:t>
            </w:r>
            <w:r w:rsidRPr="00957786">
              <w:rPr>
                <w:rStyle w:val="fontstyle01"/>
                <w:b w:val="0"/>
                <w:sz w:val="24"/>
                <w:szCs w:val="24"/>
              </w:rPr>
              <w:t>đất.</w:t>
            </w:r>
          </w:p>
          <w:p w:rsidR="00FC65DE" w:rsidRPr="00957786" w:rsidRDefault="00FC65DE" w:rsidP="00957786">
            <w:pPr>
              <w:tabs>
                <w:tab w:val="left" w:pos="2309"/>
              </w:tabs>
              <w:spacing w:before="60" w:after="60"/>
              <w:jc w:val="both"/>
              <w:rPr>
                <w:sz w:val="24"/>
                <w:szCs w:val="24"/>
              </w:rPr>
            </w:pPr>
          </w:p>
        </w:tc>
        <w:tc>
          <w:tcPr>
            <w:tcW w:w="4641" w:type="dxa"/>
            <w:vAlign w:val="center"/>
          </w:tcPr>
          <w:p w:rsidR="00FC65DE" w:rsidRDefault="00FC65DE" w:rsidP="00957786">
            <w:pPr>
              <w:spacing w:before="60" w:after="60"/>
              <w:jc w:val="both"/>
              <w:rPr>
                <w:rStyle w:val="fontstyle01"/>
                <w:sz w:val="24"/>
                <w:szCs w:val="24"/>
              </w:rPr>
            </w:pPr>
            <w:r w:rsidRPr="00957786">
              <w:rPr>
                <w:rStyle w:val="fontstyle01"/>
                <w:sz w:val="24"/>
                <w:szCs w:val="24"/>
              </w:rPr>
              <w:t>Điều 103. Bồi thường đối với cây</w:t>
            </w:r>
            <w:r>
              <w:rPr>
                <w:rStyle w:val="fontstyle01"/>
                <w:sz w:val="24"/>
                <w:szCs w:val="24"/>
              </w:rPr>
              <w:t xml:space="preserve"> </w:t>
            </w:r>
            <w:r w:rsidRPr="00957786">
              <w:rPr>
                <w:rStyle w:val="fontstyle01"/>
                <w:sz w:val="24"/>
                <w:szCs w:val="24"/>
              </w:rPr>
              <w:t>trồng, vật nuôi</w:t>
            </w:r>
          </w:p>
          <w:p w:rsidR="00FC65DE" w:rsidRPr="00957786" w:rsidRDefault="00FC65DE" w:rsidP="00957786">
            <w:pPr>
              <w:spacing w:before="60" w:after="60"/>
              <w:jc w:val="both"/>
              <w:rPr>
                <w:sz w:val="24"/>
                <w:szCs w:val="24"/>
              </w:rPr>
            </w:pPr>
            <w:r w:rsidRPr="00957786">
              <w:rPr>
                <w:rStyle w:val="fontstyle21"/>
              </w:rPr>
              <w:t xml:space="preserve">4. Khi Nhà nước thu hồi đất mà gây thiệt hại đối với vật nuôi là thủy sản hoặc vật nuôi khác mà không thể di chuyển thì được bồi thường thiệt hại thực tế theo mức bồi thường cụ thể do </w:t>
            </w:r>
            <w:r>
              <w:rPr>
                <w:rStyle w:val="fontstyle21"/>
              </w:rPr>
              <w:t>UBND</w:t>
            </w:r>
            <w:r w:rsidRPr="00957786">
              <w:rPr>
                <w:rStyle w:val="fontstyle21"/>
              </w:rPr>
              <w:t xml:space="preserve"> cấp tỉnh quy định;</w:t>
            </w:r>
          </w:p>
          <w:p w:rsidR="00FC65DE" w:rsidRPr="00957786" w:rsidRDefault="00FC65DE" w:rsidP="00957786">
            <w:pPr>
              <w:spacing w:before="60" w:after="60"/>
              <w:jc w:val="both"/>
              <w:rPr>
                <w:sz w:val="24"/>
                <w:szCs w:val="24"/>
              </w:rPr>
            </w:pPr>
          </w:p>
        </w:tc>
        <w:tc>
          <w:tcPr>
            <w:tcW w:w="1257" w:type="dxa"/>
            <w:vAlign w:val="center"/>
          </w:tcPr>
          <w:p w:rsidR="00FC65DE" w:rsidRPr="00957786" w:rsidRDefault="00FC65DE" w:rsidP="00456873">
            <w:pPr>
              <w:spacing w:before="60" w:after="60"/>
              <w:jc w:val="center"/>
              <w:rPr>
                <w:sz w:val="24"/>
                <w:szCs w:val="24"/>
              </w:rPr>
            </w:pPr>
            <w:r w:rsidRPr="00957786">
              <w:rPr>
                <w:sz w:val="24"/>
                <w:szCs w:val="24"/>
              </w:rPr>
              <w:t>Sở Nông nghiệp và Phát triển nông thôn</w:t>
            </w:r>
          </w:p>
        </w:tc>
        <w:tc>
          <w:tcPr>
            <w:tcW w:w="1227" w:type="dxa"/>
          </w:tcPr>
          <w:p w:rsidR="00FC65DE" w:rsidRDefault="00FC65DE" w:rsidP="00456873">
            <w:pPr>
              <w:spacing w:before="60" w:after="60"/>
              <w:jc w:val="center"/>
              <w:rPr>
                <w:sz w:val="24"/>
                <w:szCs w:val="24"/>
              </w:rPr>
            </w:pPr>
          </w:p>
          <w:p w:rsidR="00FC65DE" w:rsidRPr="00FC65DE" w:rsidRDefault="00FC65DE" w:rsidP="00FC65DE">
            <w:pPr>
              <w:rPr>
                <w:sz w:val="24"/>
                <w:szCs w:val="24"/>
              </w:rPr>
            </w:pPr>
          </w:p>
          <w:p w:rsidR="00FC65DE" w:rsidRPr="00FC65DE" w:rsidRDefault="00FC65DE" w:rsidP="00FC65DE">
            <w:pPr>
              <w:rPr>
                <w:sz w:val="24"/>
                <w:szCs w:val="24"/>
              </w:rPr>
            </w:pPr>
          </w:p>
          <w:p w:rsidR="00FC65DE" w:rsidRDefault="00FC65DE" w:rsidP="00FC65DE">
            <w:pPr>
              <w:rPr>
                <w:sz w:val="24"/>
                <w:szCs w:val="24"/>
              </w:rPr>
            </w:pPr>
          </w:p>
          <w:p w:rsidR="00FC65DE" w:rsidRPr="00FC65DE" w:rsidRDefault="00FC65DE" w:rsidP="00C8337F">
            <w:pPr>
              <w:jc w:val="center"/>
              <w:rPr>
                <w:sz w:val="24"/>
                <w:szCs w:val="24"/>
              </w:rPr>
            </w:pPr>
            <w:r>
              <w:rPr>
                <w:sz w:val="24"/>
                <w:szCs w:val="24"/>
              </w:rPr>
              <w:t xml:space="preserve">Chi cục </w:t>
            </w:r>
            <w:r w:rsidR="000B6398">
              <w:rPr>
                <w:sz w:val="24"/>
                <w:szCs w:val="24"/>
              </w:rPr>
              <w:t xml:space="preserve">Trồng trọt và </w:t>
            </w:r>
            <w:r>
              <w:rPr>
                <w:sz w:val="24"/>
                <w:szCs w:val="24"/>
              </w:rPr>
              <w:t>Bảo vệ thực vật</w:t>
            </w:r>
          </w:p>
        </w:tc>
        <w:tc>
          <w:tcPr>
            <w:tcW w:w="1252" w:type="dxa"/>
            <w:vAlign w:val="center"/>
          </w:tcPr>
          <w:p w:rsidR="00FC65DE" w:rsidRPr="00957786" w:rsidRDefault="00FC65DE" w:rsidP="00456873">
            <w:pPr>
              <w:spacing w:before="60" w:after="60"/>
              <w:jc w:val="center"/>
              <w:rPr>
                <w:sz w:val="24"/>
                <w:szCs w:val="24"/>
              </w:rPr>
            </w:pPr>
            <w:r>
              <w:rPr>
                <w:sz w:val="24"/>
                <w:szCs w:val="24"/>
              </w:rPr>
              <w:t xml:space="preserve">Chi cục Kiểm lâm; Chi cục Chăn nuôi </w:t>
            </w:r>
            <w:r w:rsidR="000B6398">
              <w:rPr>
                <w:sz w:val="24"/>
                <w:szCs w:val="24"/>
              </w:rPr>
              <w:t xml:space="preserve">và </w:t>
            </w:r>
            <w:r>
              <w:rPr>
                <w:sz w:val="24"/>
                <w:szCs w:val="24"/>
              </w:rPr>
              <w:t>Thú y</w:t>
            </w:r>
          </w:p>
        </w:tc>
      </w:tr>
      <w:tr w:rsidR="00FC65DE" w:rsidRPr="00957786" w:rsidTr="00FC65DE">
        <w:trPr>
          <w:trHeight w:val="20"/>
        </w:trPr>
        <w:tc>
          <w:tcPr>
            <w:tcW w:w="701" w:type="dxa"/>
            <w:vAlign w:val="center"/>
          </w:tcPr>
          <w:p w:rsidR="00FC65DE" w:rsidRPr="00957786" w:rsidRDefault="00FC65DE" w:rsidP="00F86300">
            <w:pPr>
              <w:spacing w:before="60" w:after="60"/>
              <w:jc w:val="both"/>
              <w:rPr>
                <w:sz w:val="24"/>
                <w:szCs w:val="24"/>
              </w:rPr>
            </w:pPr>
            <w:r>
              <w:rPr>
                <w:sz w:val="24"/>
                <w:szCs w:val="24"/>
              </w:rPr>
              <w:t>2</w:t>
            </w:r>
          </w:p>
        </w:tc>
        <w:tc>
          <w:tcPr>
            <w:tcW w:w="1121" w:type="dxa"/>
            <w:vAlign w:val="center"/>
          </w:tcPr>
          <w:p w:rsidR="00FC65DE" w:rsidRPr="00957786" w:rsidRDefault="00FC65DE" w:rsidP="00F86300">
            <w:pPr>
              <w:spacing w:before="60" w:after="60"/>
              <w:jc w:val="both"/>
              <w:rPr>
                <w:sz w:val="24"/>
                <w:szCs w:val="24"/>
              </w:rPr>
            </w:pPr>
            <w:r w:rsidRPr="00957786">
              <w:rPr>
                <w:sz w:val="24"/>
                <w:szCs w:val="24"/>
              </w:rPr>
              <w:t>Khoản 3</w:t>
            </w:r>
          </w:p>
          <w:p w:rsidR="00FC65DE" w:rsidRPr="00957786" w:rsidRDefault="00FC65DE" w:rsidP="00F86300">
            <w:pPr>
              <w:spacing w:before="60" w:after="60"/>
              <w:jc w:val="both"/>
              <w:rPr>
                <w:sz w:val="24"/>
                <w:szCs w:val="24"/>
              </w:rPr>
            </w:pPr>
            <w:r w:rsidRPr="00957786">
              <w:rPr>
                <w:sz w:val="24"/>
                <w:szCs w:val="24"/>
              </w:rPr>
              <w:t>Điều 178</w:t>
            </w:r>
          </w:p>
        </w:tc>
        <w:tc>
          <w:tcPr>
            <w:tcW w:w="5047" w:type="dxa"/>
            <w:vAlign w:val="center"/>
          </w:tcPr>
          <w:p w:rsidR="00FC65DE" w:rsidRPr="00957786" w:rsidRDefault="00FC65DE" w:rsidP="00F86300">
            <w:pPr>
              <w:spacing w:before="60" w:after="60"/>
              <w:jc w:val="both"/>
              <w:rPr>
                <w:sz w:val="24"/>
                <w:szCs w:val="24"/>
              </w:rPr>
            </w:pPr>
          </w:p>
        </w:tc>
        <w:tc>
          <w:tcPr>
            <w:tcW w:w="4641" w:type="dxa"/>
            <w:vAlign w:val="center"/>
          </w:tcPr>
          <w:p w:rsidR="00FC65DE" w:rsidRDefault="00FC65DE" w:rsidP="00F86300">
            <w:pPr>
              <w:spacing w:before="60" w:after="60"/>
              <w:jc w:val="both"/>
              <w:rPr>
                <w:rStyle w:val="fontstyle01"/>
                <w:sz w:val="24"/>
                <w:szCs w:val="24"/>
              </w:rPr>
            </w:pPr>
            <w:r w:rsidRPr="00957786">
              <w:rPr>
                <w:rStyle w:val="fontstyle01"/>
                <w:sz w:val="24"/>
                <w:szCs w:val="24"/>
              </w:rPr>
              <w:t>Điều 178. Đất nông nghiệp do cá nhân, cộng đồng dân cư sử dụng</w:t>
            </w:r>
            <w:r>
              <w:rPr>
                <w:rStyle w:val="fontstyle01"/>
                <w:sz w:val="24"/>
                <w:szCs w:val="24"/>
              </w:rPr>
              <w:t xml:space="preserve"> </w:t>
            </w:r>
          </w:p>
          <w:p w:rsidR="00FC65DE" w:rsidRPr="00957786" w:rsidRDefault="00FC65DE" w:rsidP="00F86300">
            <w:pPr>
              <w:spacing w:before="60" w:after="60"/>
              <w:jc w:val="both"/>
              <w:rPr>
                <w:sz w:val="24"/>
                <w:szCs w:val="24"/>
              </w:rPr>
            </w:pPr>
            <w:r w:rsidRPr="00957786">
              <w:rPr>
                <w:rStyle w:val="fontstyle21"/>
              </w:rPr>
              <w:t>3. Người sử dụng đất nông nghiệp được</w:t>
            </w:r>
            <w:r>
              <w:rPr>
                <w:rStyle w:val="fontstyle21"/>
              </w:rPr>
              <w:t xml:space="preserve"> </w:t>
            </w:r>
            <w:r w:rsidRPr="00957786">
              <w:rPr>
                <w:rStyle w:val="fontstyle21"/>
              </w:rPr>
              <w:t>chuyển đổi cơ cấu cây trồng, vật nuôi để</w:t>
            </w:r>
            <w:r>
              <w:rPr>
                <w:rStyle w:val="fontstyle21"/>
              </w:rPr>
              <w:t xml:space="preserve"> </w:t>
            </w:r>
            <w:r w:rsidRPr="00957786">
              <w:rPr>
                <w:rStyle w:val="fontstyle21"/>
              </w:rPr>
              <w:t xml:space="preserve">sử dụng đất kết hợp đa mục đích theo quy định tại Điều 218 của Luật này; được sử dụng một diện tích đất theo quy định của </w:t>
            </w:r>
            <w:r>
              <w:rPr>
                <w:rStyle w:val="fontstyle21"/>
              </w:rPr>
              <w:t>UBND</w:t>
            </w:r>
            <w:r w:rsidRPr="00957786">
              <w:rPr>
                <w:rStyle w:val="fontstyle21"/>
              </w:rPr>
              <w:t xml:space="preserve"> cấp tỉnh để xây dựng công trình phục vụ trực tiếp, sản xuất nông nghiệp. Trường hợp sử dụng đất trồng lúa thì thực hiện theo quy định tại Điều 182 của Luật này</w:t>
            </w:r>
          </w:p>
        </w:tc>
        <w:tc>
          <w:tcPr>
            <w:tcW w:w="1257" w:type="dxa"/>
            <w:vAlign w:val="center"/>
          </w:tcPr>
          <w:p w:rsidR="00FC65DE" w:rsidRPr="00957786" w:rsidRDefault="00FC65DE" w:rsidP="00F86300">
            <w:pPr>
              <w:spacing w:before="60" w:after="60"/>
              <w:jc w:val="center"/>
              <w:rPr>
                <w:sz w:val="24"/>
                <w:szCs w:val="24"/>
              </w:rPr>
            </w:pPr>
            <w:r w:rsidRPr="00957786">
              <w:rPr>
                <w:sz w:val="24"/>
                <w:szCs w:val="24"/>
              </w:rPr>
              <w:t>Sở Nông nghiệp và Phát triển nông thôn</w:t>
            </w:r>
          </w:p>
        </w:tc>
        <w:tc>
          <w:tcPr>
            <w:tcW w:w="1227" w:type="dxa"/>
          </w:tcPr>
          <w:p w:rsidR="00FC65DE" w:rsidRDefault="00FC65DE" w:rsidP="00F86300">
            <w:pPr>
              <w:spacing w:before="60" w:after="60"/>
              <w:jc w:val="center"/>
              <w:rPr>
                <w:sz w:val="24"/>
                <w:szCs w:val="24"/>
              </w:rPr>
            </w:pPr>
          </w:p>
          <w:p w:rsidR="00FC65DE" w:rsidRPr="00FC65DE" w:rsidRDefault="00FC65DE" w:rsidP="00FC65DE">
            <w:pPr>
              <w:rPr>
                <w:sz w:val="24"/>
                <w:szCs w:val="24"/>
              </w:rPr>
            </w:pPr>
          </w:p>
          <w:p w:rsidR="00FC65DE" w:rsidRPr="00FC65DE" w:rsidRDefault="00FC65DE" w:rsidP="00FC65DE">
            <w:pPr>
              <w:rPr>
                <w:sz w:val="24"/>
                <w:szCs w:val="24"/>
              </w:rPr>
            </w:pPr>
          </w:p>
          <w:p w:rsidR="00FC65DE" w:rsidRDefault="00FC65DE" w:rsidP="00FC65DE">
            <w:pPr>
              <w:rPr>
                <w:sz w:val="24"/>
                <w:szCs w:val="24"/>
              </w:rPr>
            </w:pPr>
          </w:p>
          <w:p w:rsidR="00FC65DE" w:rsidRPr="00FC65DE" w:rsidRDefault="000B6398" w:rsidP="00C8337F">
            <w:pPr>
              <w:jc w:val="center"/>
              <w:rPr>
                <w:sz w:val="24"/>
                <w:szCs w:val="24"/>
              </w:rPr>
            </w:pPr>
            <w:r>
              <w:rPr>
                <w:sz w:val="24"/>
                <w:szCs w:val="24"/>
              </w:rPr>
              <w:t>Chi cục Tr</w:t>
            </w:r>
            <w:bookmarkStart w:id="0" w:name="_GoBack"/>
            <w:bookmarkEnd w:id="0"/>
            <w:r>
              <w:rPr>
                <w:sz w:val="24"/>
                <w:szCs w:val="24"/>
              </w:rPr>
              <w:t>ồng trọt và Bảo vệ thực vật</w:t>
            </w:r>
          </w:p>
        </w:tc>
        <w:tc>
          <w:tcPr>
            <w:tcW w:w="1252" w:type="dxa"/>
            <w:vAlign w:val="center"/>
          </w:tcPr>
          <w:p w:rsidR="00FC65DE" w:rsidRPr="00957786" w:rsidRDefault="00FC65DE" w:rsidP="00F86300">
            <w:pPr>
              <w:spacing w:before="60" w:after="60"/>
              <w:jc w:val="center"/>
              <w:rPr>
                <w:sz w:val="24"/>
                <w:szCs w:val="24"/>
              </w:rPr>
            </w:pPr>
            <w:r>
              <w:rPr>
                <w:sz w:val="24"/>
                <w:szCs w:val="24"/>
              </w:rPr>
              <w:t xml:space="preserve">Chi cục Kiểm lâm; Chi cục Chăn nuôi </w:t>
            </w:r>
            <w:r w:rsidR="000B6398">
              <w:rPr>
                <w:sz w:val="24"/>
                <w:szCs w:val="24"/>
              </w:rPr>
              <w:t xml:space="preserve">và </w:t>
            </w:r>
            <w:r>
              <w:rPr>
                <w:sz w:val="24"/>
                <w:szCs w:val="24"/>
              </w:rPr>
              <w:t>Thú y</w:t>
            </w:r>
          </w:p>
        </w:tc>
      </w:tr>
    </w:tbl>
    <w:p w:rsidR="002512ED" w:rsidRPr="00957786" w:rsidRDefault="002512ED">
      <w:pPr>
        <w:rPr>
          <w:sz w:val="24"/>
          <w:szCs w:val="24"/>
        </w:rPr>
      </w:pPr>
    </w:p>
    <w:sectPr w:rsidR="002512ED" w:rsidRPr="00957786" w:rsidSect="00AC25F8">
      <w:pgSz w:w="16840" w:h="11907" w:orient="landscape" w:code="9"/>
      <w:pgMar w:top="1021" w:right="851" w:bottom="102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ED"/>
    <w:rsid w:val="000952B7"/>
    <w:rsid w:val="000B6398"/>
    <w:rsid w:val="00151904"/>
    <w:rsid w:val="002512ED"/>
    <w:rsid w:val="002C3B8D"/>
    <w:rsid w:val="002C7178"/>
    <w:rsid w:val="00456873"/>
    <w:rsid w:val="00457959"/>
    <w:rsid w:val="00521CA8"/>
    <w:rsid w:val="0055699E"/>
    <w:rsid w:val="005B7036"/>
    <w:rsid w:val="006177E6"/>
    <w:rsid w:val="006D65E0"/>
    <w:rsid w:val="00755BE6"/>
    <w:rsid w:val="00762202"/>
    <w:rsid w:val="007D167A"/>
    <w:rsid w:val="00957786"/>
    <w:rsid w:val="00A17572"/>
    <w:rsid w:val="00AC25F8"/>
    <w:rsid w:val="00B15665"/>
    <w:rsid w:val="00B23C9A"/>
    <w:rsid w:val="00BD4752"/>
    <w:rsid w:val="00C8337F"/>
    <w:rsid w:val="00CD245F"/>
    <w:rsid w:val="00CF5707"/>
    <w:rsid w:val="00D8719B"/>
    <w:rsid w:val="00E12ACB"/>
    <w:rsid w:val="00E448CF"/>
    <w:rsid w:val="00E45B0D"/>
    <w:rsid w:val="00E52235"/>
    <w:rsid w:val="00E72235"/>
    <w:rsid w:val="00EA57A5"/>
    <w:rsid w:val="00F86300"/>
    <w:rsid w:val="00FC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7786"/>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512ED"/>
    <w:rPr>
      <w:rFonts w:ascii="Times New Roman" w:hAnsi="Times New Roman" w:cs="Times New Roman" w:hint="default"/>
      <w:b/>
      <w:bCs/>
      <w:i w:val="0"/>
      <w:iCs w:val="0"/>
      <w:color w:val="000000"/>
      <w:sz w:val="26"/>
      <w:szCs w:val="26"/>
    </w:rPr>
  </w:style>
  <w:style w:type="table" w:styleId="TableGrid">
    <w:name w:val="Table Grid"/>
    <w:basedOn w:val="TableNormal"/>
    <w:uiPriority w:val="59"/>
    <w:rsid w:val="00251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E45B0D"/>
    <w:rPr>
      <w:rFonts w:ascii="Times New Roman" w:hAnsi="Times New Roman" w:cs="Times New Roman" w:hint="default"/>
      <w:b w:val="0"/>
      <w:bCs w:val="0"/>
      <w:i w:val="0"/>
      <w:iCs w:val="0"/>
      <w:color w:val="000000"/>
      <w:sz w:val="24"/>
      <w:szCs w:val="24"/>
    </w:rPr>
  </w:style>
  <w:style w:type="character" w:customStyle="1" w:styleId="Heading4Char">
    <w:name w:val="Heading 4 Char"/>
    <w:basedOn w:val="DefaultParagraphFont"/>
    <w:link w:val="Heading4"/>
    <w:uiPriority w:val="9"/>
    <w:rsid w:val="00957786"/>
    <w:rPr>
      <w:rFonts w:eastAsia="Times New Roman"/>
      <w:b/>
      <w:bCs/>
      <w:sz w:val="24"/>
      <w:szCs w:val="24"/>
    </w:rPr>
  </w:style>
  <w:style w:type="paragraph" w:styleId="NormalWeb">
    <w:name w:val="Normal (Web)"/>
    <w:basedOn w:val="Normal"/>
    <w:uiPriority w:val="99"/>
    <w:unhideWhenUsed/>
    <w:rsid w:val="00957786"/>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7786"/>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512ED"/>
    <w:rPr>
      <w:rFonts w:ascii="Times New Roman" w:hAnsi="Times New Roman" w:cs="Times New Roman" w:hint="default"/>
      <w:b/>
      <w:bCs/>
      <w:i w:val="0"/>
      <w:iCs w:val="0"/>
      <w:color w:val="000000"/>
      <w:sz w:val="26"/>
      <w:szCs w:val="26"/>
    </w:rPr>
  </w:style>
  <w:style w:type="table" w:styleId="TableGrid">
    <w:name w:val="Table Grid"/>
    <w:basedOn w:val="TableNormal"/>
    <w:uiPriority w:val="59"/>
    <w:rsid w:val="00251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E45B0D"/>
    <w:rPr>
      <w:rFonts w:ascii="Times New Roman" w:hAnsi="Times New Roman" w:cs="Times New Roman" w:hint="default"/>
      <w:b w:val="0"/>
      <w:bCs w:val="0"/>
      <w:i w:val="0"/>
      <w:iCs w:val="0"/>
      <w:color w:val="000000"/>
      <w:sz w:val="24"/>
      <w:szCs w:val="24"/>
    </w:rPr>
  </w:style>
  <w:style w:type="character" w:customStyle="1" w:styleId="Heading4Char">
    <w:name w:val="Heading 4 Char"/>
    <w:basedOn w:val="DefaultParagraphFont"/>
    <w:link w:val="Heading4"/>
    <w:uiPriority w:val="9"/>
    <w:rsid w:val="00957786"/>
    <w:rPr>
      <w:rFonts w:eastAsia="Times New Roman"/>
      <w:b/>
      <w:bCs/>
      <w:sz w:val="24"/>
      <w:szCs w:val="24"/>
    </w:rPr>
  </w:style>
  <w:style w:type="paragraph" w:styleId="NormalWeb">
    <w:name w:val="Normal (Web)"/>
    <w:basedOn w:val="Normal"/>
    <w:uiPriority w:val="99"/>
    <w:unhideWhenUsed/>
    <w:rsid w:val="0095778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802">
      <w:bodyDiv w:val="1"/>
      <w:marLeft w:val="0"/>
      <w:marRight w:val="0"/>
      <w:marTop w:val="0"/>
      <w:marBottom w:val="0"/>
      <w:divBdr>
        <w:top w:val="none" w:sz="0" w:space="0" w:color="auto"/>
        <w:left w:val="none" w:sz="0" w:space="0" w:color="auto"/>
        <w:bottom w:val="none" w:sz="0" w:space="0" w:color="auto"/>
        <w:right w:val="none" w:sz="0" w:space="0" w:color="auto"/>
      </w:divBdr>
    </w:div>
    <w:div w:id="14620528">
      <w:bodyDiv w:val="1"/>
      <w:marLeft w:val="0"/>
      <w:marRight w:val="0"/>
      <w:marTop w:val="0"/>
      <w:marBottom w:val="0"/>
      <w:divBdr>
        <w:top w:val="none" w:sz="0" w:space="0" w:color="auto"/>
        <w:left w:val="none" w:sz="0" w:space="0" w:color="auto"/>
        <w:bottom w:val="none" w:sz="0" w:space="0" w:color="auto"/>
        <w:right w:val="none" w:sz="0" w:space="0" w:color="auto"/>
      </w:divBdr>
    </w:div>
    <w:div w:id="43916249">
      <w:bodyDiv w:val="1"/>
      <w:marLeft w:val="0"/>
      <w:marRight w:val="0"/>
      <w:marTop w:val="0"/>
      <w:marBottom w:val="0"/>
      <w:divBdr>
        <w:top w:val="none" w:sz="0" w:space="0" w:color="auto"/>
        <w:left w:val="none" w:sz="0" w:space="0" w:color="auto"/>
        <w:bottom w:val="none" w:sz="0" w:space="0" w:color="auto"/>
        <w:right w:val="none" w:sz="0" w:space="0" w:color="auto"/>
      </w:divBdr>
    </w:div>
    <w:div w:id="100876578">
      <w:bodyDiv w:val="1"/>
      <w:marLeft w:val="0"/>
      <w:marRight w:val="0"/>
      <w:marTop w:val="0"/>
      <w:marBottom w:val="0"/>
      <w:divBdr>
        <w:top w:val="none" w:sz="0" w:space="0" w:color="auto"/>
        <w:left w:val="none" w:sz="0" w:space="0" w:color="auto"/>
        <w:bottom w:val="none" w:sz="0" w:space="0" w:color="auto"/>
        <w:right w:val="none" w:sz="0" w:space="0" w:color="auto"/>
      </w:divBdr>
    </w:div>
    <w:div w:id="147866598">
      <w:bodyDiv w:val="1"/>
      <w:marLeft w:val="0"/>
      <w:marRight w:val="0"/>
      <w:marTop w:val="0"/>
      <w:marBottom w:val="0"/>
      <w:divBdr>
        <w:top w:val="none" w:sz="0" w:space="0" w:color="auto"/>
        <w:left w:val="none" w:sz="0" w:space="0" w:color="auto"/>
        <w:bottom w:val="none" w:sz="0" w:space="0" w:color="auto"/>
        <w:right w:val="none" w:sz="0" w:space="0" w:color="auto"/>
      </w:divBdr>
    </w:div>
    <w:div w:id="181433669">
      <w:bodyDiv w:val="1"/>
      <w:marLeft w:val="0"/>
      <w:marRight w:val="0"/>
      <w:marTop w:val="0"/>
      <w:marBottom w:val="0"/>
      <w:divBdr>
        <w:top w:val="none" w:sz="0" w:space="0" w:color="auto"/>
        <w:left w:val="none" w:sz="0" w:space="0" w:color="auto"/>
        <w:bottom w:val="none" w:sz="0" w:space="0" w:color="auto"/>
        <w:right w:val="none" w:sz="0" w:space="0" w:color="auto"/>
      </w:divBdr>
    </w:div>
    <w:div w:id="182598033">
      <w:bodyDiv w:val="1"/>
      <w:marLeft w:val="0"/>
      <w:marRight w:val="0"/>
      <w:marTop w:val="0"/>
      <w:marBottom w:val="0"/>
      <w:divBdr>
        <w:top w:val="none" w:sz="0" w:space="0" w:color="auto"/>
        <w:left w:val="none" w:sz="0" w:space="0" w:color="auto"/>
        <w:bottom w:val="none" w:sz="0" w:space="0" w:color="auto"/>
        <w:right w:val="none" w:sz="0" w:space="0" w:color="auto"/>
      </w:divBdr>
    </w:div>
    <w:div w:id="184632326">
      <w:bodyDiv w:val="1"/>
      <w:marLeft w:val="0"/>
      <w:marRight w:val="0"/>
      <w:marTop w:val="0"/>
      <w:marBottom w:val="0"/>
      <w:divBdr>
        <w:top w:val="none" w:sz="0" w:space="0" w:color="auto"/>
        <w:left w:val="none" w:sz="0" w:space="0" w:color="auto"/>
        <w:bottom w:val="none" w:sz="0" w:space="0" w:color="auto"/>
        <w:right w:val="none" w:sz="0" w:space="0" w:color="auto"/>
      </w:divBdr>
    </w:div>
    <w:div w:id="244923309">
      <w:bodyDiv w:val="1"/>
      <w:marLeft w:val="0"/>
      <w:marRight w:val="0"/>
      <w:marTop w:val="0"/>
      <w:marBottom w:val="0"/>
      <w:divBdr>
        <w:top w:val="none" w:sz="0" w:space="0" w:color="auto"/>
        <w:left w:val="none" w:sz="0" w:space="0" w:color="auto"/>
        <w:bottom w:val="none" w:sz="0" w:space="0" w:color="auto"/>
        <w:right w:val="none" w:sz="0" w:space="0" w:color="auto"/>
      </w:divBdr>
    </w:div>
    <w:div w:id="400368403">
      <w:bodyDiv w:val="1"/>
      <w:marLeft w:val="0"/>
      <w:marRight w:val="0"/>
      <w:marTop w:val="0"/>
      <w:marBottom w:val="0"/>
      <w:divBdr>
        <w:top w:val="none" w:sz="0" w:space="0" w:color="auto"/>
        <w:left w:val="none" w:sz="0" w:space="0" w:color="auto"/>
        <w:bottom w:val="none" w:sz="0" w:space="0" w:color="auto"/>
        <w:right w:val="none" w:sz="0" w:space="0" w:color="auto"/>
      </w:divBdr>
    </w:div>
    <w:div w:id="414206830">
      <w:bodyDiv w:val="1"/>
      <w:marLeft w:val="0"/>
      <w:marRight w:val="0"/>
      <w:marTop w:val="0"/>
      <w:marBottom w:val="0"/>
      <w:divBdr>
        <w:top w:val="none" w:sz="0" w:space="0" w:color="auto"/>
        <w:left w:val="none" w:sz="0" w:space="0" w:color="auto"/>
        <w:bottom w:val="none" w:sz="0" w:space="0" w:color="auto"/>
        <w:right w:val="none" w:sz="0" w:space="0" w:color="auto"/>
      </w:divBdr>
    </w:div>
    <w:div w:id="440958374">
      <w:bodyDiv w:val="1"/>
      <w:marLeft w:val="0"/>
      <w:marRight w:val="0"/>
      <w:marTop w:val="0"/>
      <w:marBottom w:val="0"/>
      <w:divBdr>
        <w:top w:val="none" w:sz="0" w:space="0" w:color="auto"/>
        <w:left w:val="none" w:sz="0" w:space="0" w:color="auto"/>
        <w:bottom w:val="none" w:sz="0" w:space="0" w:color="auto"/>
        <w:right w:val="none" w:sz="0" w:space="0" w:color="auto"/>
      </w:divBdr>
    </w:div>
    <w:div w:id="459618434">
      <w:bodyDiv w:val="1"/>
      <w:marLeft w:val="0"/>
      <w:marRight w:val="0"/>
      <w:marTop w:val="0"/>
      <w:marBottom w:val="0"/>
      <w:divBdr>
        <w:top w:val="none" w:sz="0" w:space="0" w:color="auto"/>
        <w:left w:val="none" w:sz="0" w:space="0" w:color="auto"/>
        <w:bottom w:val="none" w:sz="0" w:space="0" w:color="auto"/>
        <w:right w:val="none" w:sz="0" w:space="0" w:color="auto"/>
      </w:divBdr>
    </w:div>
    <w:div w:id="470951690">
      <w:bodyDiv w:val="1"/>
      <w:marLeft w:val="0"/>
      <w:marRight w:val="0"/>
      <w:marTop w:val="0"/>
      <w:marBottom w:val="0"/>
      <w:divBdr>
        <w:top w:val="none" w:sz="0" w:space="0" w:color="auto"/>
        <w:left w:val="none" w:sz="0" w:space="0" w:color="auto"/>
        <w:bottom w:val="none" w:sz="0" w:space="0" w:color="auto"/>
        <w:right w:val="none" w:sz="0" w:space="0" w:color="auto"/>
      </w:divBdr>
    </w:div>
    <w:div w:id="477649400">
      <w:bodyDiv w:val="1"/>
      <w:marLeft w:val="0"/>
      <w:marRight w:val="0"/>
      <w:marTop w:val="0"/>
      <w:marBottom w:val="0"/>
      <w:divBdr>
        <w:top w:val="none" w:sz="0" w:space="0" w:color="auto"/>
        <w:left w:val="none" w:sz="0" w:space="0" w:color="auto"/>
        <w:bottom w:val="none" w:sz="0" w:space="0" w:color="auto"/>
        <w:right w:val="none" w:sz="0" w:space="0" w:color="auto"/>
      </w:divBdr>
    </w:div>
    <w:div w:id="553850253">
      <w:bodyDiv w:val="1"/>
      <w:marLeft w:val="0"/>
      <w:marRight w:val="0"/>
      <w:marTop w:val="0"/>
      <w:marBottom w:val="0"/>
      <w:divBdr>
        <w:top w:val="none" w:sz="0" w:space="0" w:color="auto"/>
        <w:left w:val="none" w:sz="0" w:space="0" w:color="auto"/>
        <w:bottom w:val="none" w:sz="0" w:space="0" w:color="auto"/>
        <w:right w:val="none" w:sz="0" w:space="0" w:color="auto"/>
      </w:divBdr>
    </w:div>
    <w:div w:id="702365616">
      <w:bodyDiv w:val="1"/>
      <w:marLeft w:val="0"/>
      <w:marRight w:val="0"/>
      <w:marTop w:val="0"/>
      <w:marBottom w:val="0"/>
      <w:divBdr>
        <w:top w:val="none" w:sz="0" w:space="0" w:color="auto"/>
        <w:left w:val="none" w:sz="0" w:space="0" w:color="auto"/>
        <w:bottom w:val="none" w:sz="0" w:space="0" w:color="auto"/>
        <w:right w:val="none" w:sz="0" w:space="0" w:color="auto"/>
      </w:divBdr>
    </w:div>
    <w:div w:id="756248366">
      <w:bodyDiv w:val="1"/>
      <w:marLeft w:val="0"/>
      <w:marRight w:val="0"/>
      <w:marTop w:val="0"/>
      <w:marBottom w:val="0"/>
      <w:divBdr>
        <w:top w:val="none" w:sz="0" w:space="0" w:color="auto"/>
        <w:left w:val="none" w:sz="0" w:space="0" w:color="auto"/>
        <w:bottom w:val="none" w:sz="0" w:space="0" w:color="auto"/>
        <w:right w:val="none" w:sz="0" w:space="0" w:color="auto"/>
      </w:divBdr>
    </w:div>
    <w:div w:id="786197444">
      <w:bodyDiv w:val="1"/>
      <w:marLeft w:val="0"/>
      <w:marRight w:val="0"/>
      <w:marTop w:val="0"/>
      <w:marBottom w:val="0"/>
      <w:divBdr>
        <w:top w:val="none" w:sz="0" w:space="0" w:color="auto"/>
        <w:left w:val="none" w:sz="0" w:space="0" w:color="auto"/>
        <w:bottom w:val="none" w:sz="0" w:space="0" w:color="auto"/>
        <w:right w:val="none" w:sz="0" w:space="0" w:color="auto"/>
      </w:divBdr>
    </w:div>
    <w:div w:id="938220391">
      <w:bodyDiv w:val="1"/>
      <w:marLeft w:val="0"/>
      <w:marRight w:val="0"/>
      <w:marTop w:val="0"/>
      <w:marBottom w:val="0"/>
      <w:divBdr>
        <w:top w:val="none" w:sz="0" w:space="0" w:color="auto"/>
        <w:left w:val="none" w:sz="0" w:space="0" w:color="auto"/>
        <w:bottom w:val="none" w:sz="0" w:space="0" w:color="auto"/>
        <w:right w:val="none" w:sz="0" w:space="0" w:color="auto"/>
      </w:divBdr>
    </w:div>
    <w:div w:id="1018116935">
      <w:bodyDiv w:val="1"/>
      <w:marLeft w:val="0"/>
      <w:marRight w:val="0"/>
      <w:marTop w:val="0"/>
      <w:marBottom w:val="0"/>
      <w:divBdr>
        <w:top w:val="none" w:sz="0" w:space="0" w:color="auto"/>
        <w:left w:val="none" w:sz="0" w:space="0" w:color="auto"/>
        <w:bottom w:val="none" w:sz="0" w:space="0" w:color="auto"/>
        <w:right w:val="none" w:sz="0" w:space="0" w:color="auto"/>
      </w:divBdr>
    </w:div>
    <w:div w:id="1036156670">
      <w:bodyDiv w:val="1"/>
      <w:marLeft w:val="0"/>
      <w:marRight w:val="0"/>
      <w:marTop w:val="0"/>
      <w:marBottom w:val="0"/>
      <w:divBdr>
        <w:top w:val="none" w:sz="0" w:space="0" w:color="auto"/>
        <w:left w:val="none" w:sz="0" w:space="0" w:color="auto"/>
        <w:bottom w:val="none" w:sz="0" w:space="0" w:color="auto"/>
        <w:right w:val="none" w:sz="0" w:space="0" w:color="auto"/>
      </w:divBdr>
    </w:div>
    <w:div w:id="1138379042">
      <w:bodyDiv w:val="1"/>
      <w:marLeft w:val="0"/>
      <w:marRight w:val="0"/>
      <w:marTop w:val="0"/>
      <w:marBottom w:val="0"/>
      <w:divBdr>
        <w:top w:val="none" w:sz="0" w:space="0" w:color="auto"/>
        <w:left w:val="none" w:sz="0" w:space="0" w:color="auto"/>
        <w:bottom w:val="none" w:sz="0" w:space="0" w:color="auto"/>
        <w:right w:val="none" w:sz="0" w:space="0" w:color="auto"/>
      </w:divBdr>
    </w:div>
    <w:div w:id="1162502490">
      <w:bodyDiv w:val="1"/>
      <w:marLeft w:val="0"/>
      <w:marRight w:val="0"/>
      <w:marTop w:val="0"/>
      <w:marBottom w:val="0"/>
      <w:divBdr>
        <w:top w:val="none" w:sz="0" w:space="0" w:color="auto"/>
        <w:left w:val="none" w:sz="0" w:space="0" w:color="auto"/>
        <w:bottom w:val="none" w:sz="0" w:space="0" w:color="auto"/>
        <w:right w:val="none" w:sz="0" w:space="0" w:color="auto"/>
      </w:divBdr>
    </w:div>
    <w:div w:id="1188180188">
      <w:bodyDiv w:val="1"/>
      <w:marLeft w:val="0"/>
      <w:marRight w:val="0"/>
      <w:marTop w:val="0"/>
      <w:marBottom w:val="0"/>
      <w:divBdr>
        <w:top w:val="none" w:sz="0" w:space="0" w:color="auto"/>
        <w:left w:val="none" w:sz="0" w:space="0" w:color="auto"/>
        <w:bottom w:val="none" w:sz="0" w:space="0" w:color="auto"/>
        <w:right w:val="none" w:sz="0" w:space="0" w:color="auto"/>
      </w:divBdr>
    </w:div>
    <w:div w:id="1221556035">
      <w:bodyDiv w:val="1"/>
      <w:marLeft w:val="0"/>
      <w:marRight w:val="0"/>
      <w:marTop w:val="0"/>
      <w:marBottom w:val="0"/>
      <w:divBdr>
        <w:top w:val="none" w:sz="0" w:space="0" w:color="auto"/>
        <w:left w:val="none" w:sz="0" w:space="0" w:color="auto"/>
        <w:bottom w:val="none" w:sz="0" w:space="0" w:color="auto"/>
        <w:right w:val="none" w:sz="0" w:space="0" w:color="auto"/>
      </w:divBdr>
    </w:div>
    <w:div w:id="1250625842">
      <w:bodyDiv w:val="1"/>
      <w:marLeft w:val="0"/>
      <w:marRight w:val="0"/>
      <w:marTop w:val="0"/>
      <w:marBottom w:val="0"/>
      <w:divBdr>
        <w:top w:val="none" w:sz="0" w:space="0" w:color="auto"/>
        <w:left w:val="none" w:sz="0" w:space="0" w:color="auto"/>
        <w:bottom w:val="none" w:sz="0" w:space="0" w:color="auto"/>
        <w:right w:val="none" w:sz="0" w:space="0" w:color="auto"/>
      </w:divBdr>
    </w:div>
    <w:div w:id="1290355116">
      <w:bodyDiv w:val="1"/>
      <w:marLeft w:val="0"/>
      <w:marRight w:val="0"/>
      <w:marTop w:val="0"/>
      <w:marBottom w:val="0"/>
      <w:divBdr>
        <w:top w:val="none" w:sz="0" w:space="0" w:color="auto"/>
        <w:left w:val="none" w:sz="0" w:space="0" w:color="auto"/>
        <w:bottom w:val="none" w:sz="0" w:space="0" w:color="auto"/>
        <w:right w:val="none" w:sz="0" w:space="0" w:color="auto"/>
      </w:divBdr>
    </w:div>
    <w:div w:id="1322200208">
      <w:bodyDiv w:val="1"/>
      <w:marLeft w:val="0"/>
      <w:marRight w:val="0"/>
      <w:marTop w:val="0"/>
      <w:marBottom w:val="0"/>
      <w:divBdr>
        <w:top w:val="none" w:sz="0" w:space="0" w:color="auto"/>
        <w:left w:val="none" w:sz="0" w:space="0" w:color="auto"/>
        <w:bottom w:val="none" w:sz="0" w:space="0" w:color="auto"/>
        <w:right w:val="none" w:sz="0" w:space="0" w:color="auto"/>
      </w:divBdr>
    </w:div>
    <w:div w:id="1615593798">
      <w:bodyDiv w:val="1"/>
      <w:marLeft w:val="0"/>
      <w:marRight w:val="0"/>
      <w:marTop w:val="0"/>
      <w:marBottom w:val="0"/>
      <w:divBdr>
        <w:top w:val="none" w:sz="0" w:space="0" w:color="auto"/>
        <w:left w:val="none" w:sz="0" w:space="0" w:color="auto"/>
        <w:bottom w:val="none" w:sz="0" w:space="0" w:color="auto"/>
        <w:right w:val="none" w:sz="0" w:space="0" w:color="auto"/>
      </w:divBdr>
    </w:div>
    <w:div w:id="1634865316">
      <w:bodyDiv w:val="1"/>
      <w:marLeft w:val="0"/>
      <w:marRight w:val="0"/>
      <w:marTop w:val="0"/>
      <w:marBottom w:val="0"/>
      <w:divBdr>
        <w:top w:val="none" w:sz="0" w:space="0" w:color="auto"/>
        <w:left w:val="none" w:sz="0" w:space="0" w:color="auto"/>
        <w:bottom w:val="none" w:sz="0" w:space="0" w:color="auto"/>
        <w:right w:val="none" w:sz="0" w:space="0" w:color="auto"/>
      </w:divBdr>
    </w:div>
    <w:div w:id="1648709244">
      <w:bodyDiv w:val="1"/>
      <w:marLeft w:val="0"/>
      <w:marRight w:val="0"/>
      <w:marTop w:val="0"/>
      <w:marBottom w:val="0"/>
      <w:divBdr>
        <w:top w:val="none" w:sz="0" w:space="0" w:color="auto"/>
        <w:left w:val="none" w:sz="0" w:space="0" w:color="auto"/>
        <w:bottom w:val="none" w:sz="0" w:space="0" w:color="auto"/>
        <w:right w:val="none" w:sz="0" w:space="0" w:color="auto"/>
      </w:divBdr>
    </w:div>
    <w:div w:id="1713115848">
      <w:bodyDiv w:val="1"/>
      <w:marLeft w:val="0"/>
      <w:marRight w:val="0"/>
      <w:marTop w:val="0"/>
      <w:marBottom w:val="0"/>
      <w:divBdr>
        <w:top w:val="none" w:sz="0" w:space="0" w:color="auto"/>
        <w:left w:val="none" w:sz="0" w:space="0" w:color="auto"/>
        <w:bottom w:val="none" w:sz="0" w:space="0" w:color="auto"/>
        <w:right w:val="none" w:sz="0" w:space="0" w:color="auto"/>
      </w:divBdr>
    </w:div>
    <w:div w:id="1733114562">
      <w:bodyDiv w:val="1"/>
      <w:marLeft w:val="0"/>
      <w:marRight w:val="0"/>
      <w:marTop w:val="0"/>
      <w:marBottom w:val="0"/>
      <w:divBdr>
        <w:top w:val="none" w:sz="0" w:space="0" w:color="auto"/>
        <w:left w:val="none" w:sz="0" w:space="0" w:color="auto"/>
        <w:bottom w:val="none" w:sz="0" w:space="0" w:color="auto"/>
        <w:right w:val="none" w:sz="0" w:space="0" w:color="auto"/>
      </w:divBdr>
    </w:div>
    <w:div w:id="1770931489">
      <w:bodyDiv w:val="1"/>
      <w:marLeft w:val="0"/>
      <w:marRight w:val="0"/>
      <w:marTop w:val="0"/>
      <w:marBottom w:val="0"/>
      <w:divBdr>
        <w:top w:val="none" w:sz="0" w:space="0" w:color="auto"/>
        <w:left w:val="none" w:sz="0" w:space="0" w:color="auto"/>
        <w:bottom w:val="none" w:sz="0" w:space="0" w:color="auto"/>
        <w:right w:val="none" w:sz="0" w:space="0" w:color="auto"/>
      </w:divBdr>
    </w:div>
    <w:div w:id="1802838926">
      <w:bodyDiv w:val="1"/>
      <w:marLeft w:val="0"/>
      <w:marRight w:val="0"/>
      <w:marTop w:val="0"/>
      <w:marBottom w:val="0"/>
      <w:divBdr>
        <w:top w:val="none" w:sz="0" w:space="0" w:color="auto"/>
        <w:left w:val="none" w:sz="0" w:space="0" w:color="auto"/>
        <w:bottom w:val="none" w:sz="0" w:space="0" w:color="auto"/>
        <w:right w:val="none" w:sz="0" w:space="0" w:color="auto"/>
      </w:divBdr>
    </w:div>
    <w:div w:id="1813064082">
      <w:bodyDiv w:val="1"/>
      <w:marLeft w:val="0"/>
      <w:marRight w:val="0"/>
      <w:marTop w:val="0"/>
      <w:marBottom w:val="0"/>
      <w:divBdr>
        <w:top w:val="none" w:sz="0" w:space="0" w:color="auto"/>
        <w:left w:val="none" w:sz="0" w:space="0" w:color="auto"/>
        <w:bottom w:val="none" w:sz="0" w:space="0" w:color="auto"/>
        <w:right w:val="none" w:sz="0" w:space="0" w:color="auto"/>
      </w:divBdr>
    </w:div>
    <w:div w:id="1829784203">
      <w:bodyDiv w:val="1"/>
      <w:marLeft w:val="0"/>
      <w:marRight w:val="0"/>
      <w:marTop w:val="0"/>
      <w:marBottom w:val="0"/>
      <w:divBdr>
        <w:top w:val="none" w:sz="0" w:space="0" w:color="auto"/>
        <w:left w:val="none" w:sz="0" w:space="0" w:color="auto"/>
        <w:bottom w:val="none" w:sz="0" w:space="0" w:color="auto"/>
        <w:right w:val="none" w:sz="0" w:space="0" w:color="auto"/>
      </w:divBdr>
    </w:div>
    <w:div w:id="1842350162">
      <w:bodyDiv w:val="1"/>
      <w:marLeft w:val="0"/>
      <w:marRight w:val="0"/>
      <w:marTop w:val="0"/>
      <w:marBottom w:val="0"/>
      <w:divBdr>
        <w:top w:val="none" w:sz="0" w:space="0" w:color="auto"/>
        <w:left w:val="none" w:sz="0" w:space="0" w:color="auto"/>
        <w:bottom w:val="none" w:sz="0" w:space="0" w:color="auto"/>
        <w:right w:val="none" w:sz="0" w:space="0" w:color="auto"/>
      </w:divBdr>
    </w:div>
    <w:div w:id="1876775172">
      <w:bodyDiv w:val="1"/>
      <w:marLeft w:val="0"/>
      <w:marRight w:val="0"/>
      <w:marTop w:val="0"/>
      <w:marBottom w:val="0"/>
      <w:divBdr>
        <w:top w:val="none" w:sz="0" w:space="0" w:color="auto"/>
        <w:left w:val="none" w:sz="0" w:space="0" w:color="auto"/>
        <w:bottom w:val="none" w:sz="0" w:space="0" w:color="auto"/>
        <w:right w:val="none" w:sz="0" w:space="0" w:color="auto"/>
      </w:divBdr>
    </w:div>
    <w:div w:id="1894537058">
      <w:bodyDiv w:val="1"/>
      <w:marLeft w:val="0"/>
      <w:marRight w:val="0"/>
      <w:marTop w:val="0"/>
      <w:marBottom w:val="0"/>
      <w:divBdr>
        <w:top w:val="none" w:sz="0" w:space="0" w:color="auto"/>
        <w:left w:val="none" w:sz="0" w:space="0" w:color="auto"/>
        <w:bottom w:val="none" w:sz="0" w:space="0" w:color="auto"/>
        <w:right w:val="none" w:sz="0" w:space="0" w:color="auto"/>
      </w:divBdr>
    </w:div>
    <w:div w:id="2016493564">
      <w:bodyDiv w:val="1"/>
      <w:marLeft w:val="0"/>
      <w:marRight w:val="0"/>
      <w:marTop w:val="0"/>
      <w:marBottom w:val="0"/>
      <w:divBdr>
        <w:top w:val="none" w:sz="0" w:space="0" w:color="auto"/>
        <w:left w:val="none" w:sz="0" w:space="0" w:color="auto"/>
        <w:bottom w:val="none" w:sz="0" w:space="0" w:color="auto"/>
        <w:right w:val="none" w:sz="0" w:space="0" w:color="auto"/>
      </w:divBdr>
    </w:div>
    <w:div w:id="2016616621">
      <w:bodyDiv w:val="1"/>
      <w:marLeft w:val="0"/>
      <w:marRight w:val="0"/>
      <w:marTop w:val="0"/>
      <w:marBottom w:val="0"/>
      <w:divBdr>
        <w:top w:val="none" w:sz="0" w:space="0" w:color="auto"/>
        <w:left w:val="none" w:sz="0" w:space="0" w:color="auto"/>
        <w:bottom w:val="none" w:sz="0" w:space="0" w:color="auto"/>
        <w:right w:val="none" w:sz="0" w:space="0" w:color="auto"/>
      </w:divBdr>
    </w:div>
    <w:div w:id="2071725797">
      <w:bodyDiv w:val="1"/>
      <w:marLeft w:val="0"/>
      <w:marRight w:val="0"/>
      <w:marTop w:val="0"/>
      <w:marBottom w:val="0"/>
      <w:divBdr>
        <w:top w:val="none" w:sz="0" w:space="0" w:color="auto"/>
        <w:left w:val="none" w:sz="0" w:space="0" w:color="auto"/>
        <w:bottom w:val="none" w:sz="0" w:space="0" w:color="auto"/>
        <w:right w:val="none" w:sz="0" w:space="0" w:color="auto"/>
      </w:divBdr>
    </w:div>
    <w:div w:id="2130125326">
      <w:bodyDiv w:val="1"/>
      <w:marLeft w:val="0"/>
      <w:marRight w:val="0"/>
      <w:marTop w:val="0"/>
      <w:marBottom w:val="0"/>
      <w:divBdr>
        <w:top w:val="none" w:sz="0" w:space="0" w:color="auto"/>
        <w:left w:val="none" w:sz="0" w:space="0" w:color="auto"/>
        <w:bottom w:val="none" w:sz="0" w:space="0" w:color="auto"/>
        <w:right w:val="none" w:sz="0" w:space="0" w:color="auto"/>
      </w:divBdr>
    </w:div>
    <w:div w:id="2134596798">
      <w:bodyDiv w:val="1"/>
      <w:marLeft w:val="0"/>
      <w:marRight w:val="0"/>
      <w:marTop w:val="0"/>
      <w:marBottom w:val="0"/>
      <w:divBdr>
        <w:top w:val="none" w:sz="0" w:space="0" w:color="auto"/>
        <w:left w:val="none" w:sz="0" w:space="0" w:color="auto"/>
        <w:bottom w:val="none" w:sz="0" w:space="0" w:color="auto"/>
        <w:right w:val="none" w:sz="0" w:space="0" w:color="auto"/>
      </w:divBdr>
    </w:div>
    <w:div w:id="21409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5E6B-DD6A-4EC3-A6F9-7F8498F9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Tommy_Phan</cp:lastModifiedBy>
  <cp:revision>8</cp:revision>
  <dcterms:created xsi:type="dcterms:W3CDTF">2024-04-19T14:57:00Z</dcterms:created>
  <dcterms:modified xsi:type="dcterms:W3CDTF">2024-05-13T03:32:00Z</dcterms:modified>
</cp:coreProperties>
</file>